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9D" w:rsidRDefault="008B1F9D" w:rsidP="00344FA4">
      <w:pPr>
        <w:tabs>
          <w:tab w:val="left" w:pos="42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8"/>
          <w:szCs w:val="36"/>
        </w:rPr>
      </w:pPr>
    </w:p>
    <w:p w:rsidR="008B1F9D" w:rsidRDefault="008B1F9D" w:rsidP="00344FA4">
      <w:pPr>
        <w:tabs>
          <w:tab w:val="left" w:pos="42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8"/>
          <w:szCs w:val="36"/>
        </w:rPr>
      </w:pPr>
    </w:p>
    <w:p w:rsidR="007317F9" w:rsidRPr="00D87A4F" w:rsidRDefault="00A81CD4" w:rsidP="00344FA4">
      <w:pPr>
        <w:tabs>
          <w:tab w:val="left" w:pos="426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8"/>
          <w:szCs w:val="36"/>
        </w:rPr>
      </w:pPr>
      <w:r w:rsidRPr="00D87A4F">
        <w:rPr>
          <w:rFonts w:ascii="Bookman Old Style" w:hAnsi="Bookman Old Style"/>
          <w:b/>
          <w:color w:val="17365D" w:themeColor="text2" w:themeShade="BF"/>
          <w:sz w:val="28"/>
          <w:szCs w:val="36"/>
        </w:rPr>
        <w:t>REGLEMENT INTERIEUR DE LA BIBLIOTHEQUE DE SAUXILLANGES</w:t>
      </w:r>
    </w:p>
    <w:p w:rsidR="008B1F9D" w:rsidRDefault="008B1F9D" w:rsidP="00344FA4">
      <w:pPr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</w:p>
    <w:p w:rsidR="00A81CD4" w:rsidRPr="00D87A4F" w:rsidRDefault="00A81CD4" w:rsidP="00344FA4">
      <w:pPr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color w:val="17365D" w:themeColor="text2" w:themeShade="BF"/>
          <w:sz w:val="20"/>
        </w:rPr>
        <w:t>La bibliothèque de Sauxillanges est un service public chargé de contribuer aux loisirs, à l’information, à la recherche documentaire, à l’éducation permanente et à l’activité de tous.</w:t>
      </w:r>
      <w:r w:rsidR="00675376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</w:p>
    <w:p w:rsidR="00344FA4" w:rsidRPr="00D87A4F" w:rsidRDefault="00344FA4" w:rsidP="00344FA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</w:rPr>
      </w:pPr>
    </w:p>
    <w:p w:rsidR="00E8175F" w:rsidRPr="00D87A4F" w:rsidRDefault="00A81CD4" w:rsidP="00344FA4">
      <w:pPr>
        <w:spacing w:after="0" w:line="240" w:lineRule="auto"/>
        <w:ind w:left="360"/>
        <w:jc w:val="center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I –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="00E8175F"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DISPOSITIONS GENERALES</w:t>
      </w:r>
    </w:p>
    <w:p w:rsidR="00DA6709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A81CD4" w:rsidRPr="00D87A4F">
        <w:rPr>
          <w:rFonts w:ascii="Bookman Old Style" w:hAnsi="Bookman Old Style"/>
          <w:color w:val="17365D" w:themeColor="text2" w:themeShade="BF"/>
          <w:sz w:val="20"/>
        </w:rPr>
        <w:t>L’</w:t>
      </w:r>
      <w:r w:rsidR="00CD658E" w:rsidRPr="00D87A4F">
        <w:rPr>
          <w:rFonts w:ascii="Bookman Old Style" w:hAnsi="Bookman Old Style"/>
          <w:color w:val="17365D" w:themeColor="text2" w:themeShade="BF"/>
          <w:sz w:val="20"/>
        </w:rPr>
        <w:t>accès</w:t>
      </w:r>
      <w:r w:rsidR="00A81CD4" w:rsidRPr="00D87A4F">
        <w:rPr>
          <w:rFonts w:ascii="Bookman Old Style" w:hAnsi="Bookman Old Style"/>
          <w:color w:val="17365D" w:themeColor="text2" w:themeShade="BF"/>
          <w:sz w:val="20"/>
        </w:rPr>
        <w:t xml:space="preserve"> à la bibliothèque et la consultation sur place sont lib</w:t>
      </w:r>
      <w:r w:rsidR="00CD658E" w:rsidRPr="00D87A4F">
        <w:rPr>
          <w:rFonts w:ascii="Bookman Old Style" w:hAnsi="Bookman Old Style"/>
          <w:color w:val="17365D" w:themeColor="text2" w:themeShade="BF"/>
          <w:sz w:val="20"/>
        </w:rPr>
        <w:t>res, ouverts à tous et gratuits, mais nécessitent une inscription.</w:t>
      </w:r>
      <w:r w:rsidR="00675376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</w:p>
    <w:p w:rsidR="008F6D68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8F6D68" w:rsidRPr="00D87A4F">
        <w:rPr>
          <w:rFonts w:ascii="Bookman Old Style" w:hAnsi="Bookman Old Style"/>
          <w:color w:val="17365D" w:themeColor="text2" w:themeShade="BF"/>
          <w:sz w:val="20"/>
        </w:rPr>
        <w:t>Certains documents sont exclus du prêt et ne peuvent être consultés que sur place</w:t>
      </w:r>
      <w:r w:rsidR="006622F5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="008F6D68" w:rsidRPr="00D87A4F">
        <w:rPr>
          <w:rFonts w:ascii="Bookman Old Style" w:hAnsi="Bookman Old Style"/>
          <w:color w:val="17365D" w:themeColor="text2" w:themeShade="BF"/>
          <w:sz w:val="20"/>
        </w:rPr>
        <w:t>; ils font alors l’objet d’une signalisation particulière.</w:t>
      </w:r>
    </w:p>
    <w:p w:rsidR="008073CD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3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8073CD" w:rsidRPr="00D87A4F">
        <w:rPr>
          <w:rFonts w:ascii="Bookman Old Style" w:hAnsi="Bookman Old Style"/>
          <w:color w:val="17365D" w:themeColor="text2" w:themeShade="BF"/>
          <w:sz w:val="20"/>
        </w:rPr>
        <w:t>Les responsables de la bibliothèque (tous bénévoles) sont à la disposition des usagers pour les aider à exploiter pleinement les ressources de votre bibliothèque.</w:t>
      </w:r>
    </w:p>
    <w:p w:rsidR="00344FA4" w:rsidRPr="00D87A4F" w:rsidRDefault="00344FA4" w:rsidP="00344FA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</w:rPr>
      </w:pPr>
    </w:p>
    <w:p w:rsidR="008073CD" w:rsidRPr="00D87A4F" w:rsidRDefault="008073CD" w:rsidP="00344FA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  <w:u w:val="single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 xml:space="preserve">II – </w:t>
      </w:r>
      <w:r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INSCRIPTIONS</w:t>
      </w:r>
    </w:p>
    <w:p w:rsidR="008073CD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8073CD" w:rsidRPr="00D87A4F">
        <w:rPr>
          <w:rFonts w:ascii="Bookman Old Style" w:hAnsi="Bookman Old Style"/>
          <w:color w:val="17365D" w:themeColor="text2" w:themeShade="BF"/>
          <w:sz w:val="20"/>
        </w:rPr>
        <w:t>Pour s’inscrire, l’usager doit justifier de son identité et de son domicile. Tout changement de domicile doit être immédiatement signalé. Les enfa</w:t>
      </w:r>
      <w:r w:rsidR="009C0D1E" w:rsidRPr="00D87A4F">
        <w:rPr>
          <w:rFonts w:ascii="Bookman Old Style" w:hAnsi="Bookman Old Style"/>
          <w:color w:val="17365D" w:themeColor="text2" w:themeShade="BF"/>
          <w:sz w:val="20"/>
        </w:rPr>
        <w:t>nts et les jeunes de moins de 14</w:t>
      </w:r>
      <w:r w:rsidR="008073CD" w:rsidRPr="00D87A4F">
        <w:rPr>
          <w:rFonts w:ascii="Bookman Old Style" w:hAnsi="Bookman Old Style"/>
          <w:color w:val="17365D" w:themeColor="text2" w:themeShade="BF"/>
          <w:sz w:val="20"/>
        </w:rPr>
        <w:t xml:space="preserve"> ans doivent, pour s’inscrire, être munis d’une autorisation écrite des parents ou responsables légaux.</w:t>
      </w:r>
    </w:p>
    <w:p w:rsidR="00DA6709" w:rsidRPr="00D87A4F" w:rsidRDefault="00DA6709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 Il n'est pas obligatoire de résider à Sauxillanges pour être inscrit.</w:t>
      </w:r>
    </w:p>
    <w:p w:rsidR="00DA6709" w:rsidRPr="00D87A4F" w:rsidRDefault="00DA6709" w:rsidP="00344FA4">
      <w:pPr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</w:p>
    <w:p w:rsidR="008073CD" w:rsidRPr="00D87A4F" w:rsidRDefault="008073CD" w:rsidP="00344FA4">
      <w:pPr>
        <w:spacing w:after="0" w:line="240" w:lineRule="auto"/>
        <w:jc w:val="center"/>
        <w:rPr>
          <w:rFonts w:ascii="Bookman Old Style" w:hAnsi="Bookman Old Style"/>
          <w:b/>
          <w:color w:val="17365D" w:themeColor="text2" w:themeShade="BF"/>
          <w:sz w:val="20"/>
          <w:u w:val="single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III –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PRETS</w:t>
      </w:r>
    </w:p>
    <w:p w:rsidR="008073CD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Le prêt à domicile n’est consenti qu’aux usagers inscrits.</w:t>
      </w:r>
    </w:p>
    <w:p w:rsidR="004F0C33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L’usager peut emprunter 4 livres et périodiques à la fois pour une durée de 3 semaines.</w:t>
      </w:r>
    </w:p>
    <w:p w:rsidR="004F0C33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3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 xml:space="preserve">L’usager peut emprunter </w:t>
      </w:r>
      <w:r w:rsidR="005105AB" w:rsidRPr="00D87A4F">
        <w:rPr>
          <w:rFonts w:ascii="Bookman Old Style" w:hAnsi="Bookman Old Style"/>
          <w:color w:val="17365D" w:themeColor="text2" w:themeShade="BF"/>
          <w:sz w:val="20"/>
        </w:rPr>
        <w:t>2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 xml:space="preserve"> DVD, 1 </w:t>
      </w:r>
      <w:proofErr w:type="spellStart"/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CDRom</w:t>
      </w:r>
      <w:proofErr w:type="spellEnd"/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, 3</w:t>
      </w:r>
      <w:r w:rsidR="005105AB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disques compacts à la fois pour une durée de deux semaines.</w:t>
      </w:r>
    </w:p>
    <w:p w:rsidR="004F0C33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4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 xml:space="preserve">Les disques compacts, DVD, </w:t>
      </w:r>
      <w:proofErr w:type="spellStart"/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>CDRom</w:t>
      </w:r>
      <w:proofErr w:type="spellEnd"/>
      <w:r w:rsidR="004F0C33" w:rsidRPr="00D87A4F">
        <w:rPr>
          <w:rFonts w:ascii="Bookman Old Style" w:hAnsi="Bookman Old Style"/>
          <w:color w:val="17365D" w:themeColor="text2" w:themeShade="BF"/>
          <w:sz w:val="20"/>
        </w:rPr>
        <w:t xml:space="preserve"> empruntés ne peuvent être utilisés que pour des auditions ou des représentations à caractère individuel ou familial. Sont formellement interdites la reproduction et la radiodiffusion de ces enregistrements.</w:t>
      </w:r>
      <w:r w:rsidR="005C72A4" w:rsidRPr="00D87A4F">
        <w:rPr>
          <w:rFonts w:ascii="Bookman Old Style" w:hAnsi="Bookman Old Style"/>
          <w:color w:val="17365D" w:themeColor="text2" w:themeShade="BF"/>
          <w:sz w:val="20"/>
        </w:rPr>
        <w:t xml:space="preserve"> L’audition publique des disques est possible sous réserve de déclaration aux organismes gestionnaires du droit d’auteur dans le domaine musical (SACEM, SDRM). La bibliothèque dégage sa responsabilité de toute infraction à ces règles. Sauf exception expressément confirmée par la Médiathèque départementale, le visionnement public est strictement interdit et puni gravement par la loi.</w:t>
      </w:r>
    </w:p>
    <w:p w:rsidR="00344FA4" w:rsidRPr="00D87A4F" w:rsidRDefault="00344FA4" w:rsidP="00344FA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</w:rPr>
      </w:pPr>
    </w:p>
    <w:p w:rsidR="009832C6" w:rsidRPr="00D87A4F" w:rsidRDefault="009832C6" w:rsidP="00344FA4">
      <w:pPr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  <w:u w:val="single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IV –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RECOMMANDATIONS  ET  INTERDICTIONS</w:t>
      </w:r>
    </w:p>
    <w:p w:rsidR="008073CD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9832C6" w:rsidRPr="00D87A4F">
        <w:rPr>
          <w:rFonts w:ascii="Bookman Old Style" w:hAnsi="Bookman Old Style"/>
          <w:color w:val="17365D" w:themeColor="text2" w:themeShade="BF"/>
          <w:sz w:val="20"/>
        </w:rPr>
        <w:t>Il est demand</w:t>
      </w:r>
      <w:r w:rsidR="00E74F81" w:rsidRPr="00D87A4F">
        <w:rPr>
          <w:rFonts w:ascii="Bookman Old Style" w:hAnsi="Bookman Old Style"/>
          <w:color w:val="17365D" w:themeColor="text2" w:themeShade="BF"/>
          <w:sz w:val="20"/>
        </w:rPr>
        <w:t xml:space="preserve">é aux lecteurs de prendre soin </w:t>
      </w:r>
      <w:r w:rsidR="009832C6" w:rsidRPr="00D87A4F">
        <w:rPr>
          <w:rFonts w:ascii="Bookman Old Style" w:hAnsi="Bookman Old Style"/>
          <w:color w:val="17365D" w:themeColor="text2" w:themeShade="BF"/>
          <w:sz w:val="20"/>
        </w:rPr>
        <w:t>des documents qui leur sont prêtés</w:t>
      </w:r>
      <w:r w:rsidR="00E74F81" w:rsidRPr="00D87A4F">
        <w:rPr>
          <w:rFonts w:ascii="Bookman Old Style" w:hAnsi="Bookman Old Style"/>
          <w:color w:val="17365D" w:themeColor="text2" w:themeShade="BF"/>
          <w:sz w:val="20"/>
        </w:rPr>
        <w:t> : les documents sont prêtés gratuitement par la Bibliothèque Départementale ou sont achetés par la commune.</w:t>
      </w:r>
    </w:p>
    <w:p w:rsidR="00E74F81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E74F81" w:rsidRPr="00D87A4F">
        <w:rPr>
          <w:rFonts w:ascii="Bookman Old Style" w:hAnsi="Bookman Old Style"/>
          <w:color w:val="17365D" w:themeColor="text2" w:themeShade="BF"/>
          <w:sz w:val="20"/>
        </w:rPr>
        <w:t xml:space="preserve">En cas de retard dans la restitution des documents empruntés, les bénévoles de la bibliothèque prennent toutes les dispositions utiles pour assurer le retour des documents (appels téléphoniques, </w:t>
      </w:r>
      <w:r w:rsidR="009959FD">
        <w:rPr>
          <w:rFonts w:ascii="Bookman Old Style" w:hAnsi="Bookman Old Style"/>
          <w:color w:val="17365D" w:themeColor="text2" w:themeShade="BF"/>
          <w:sz w:val="20"/>
        </w:rPr>
        <w:t>facturation des ouvrages non rendus</w:t>
      </w:r>
      <w:r w:rsidR="00E74F81" w:rsidRPr="00D87A4F">
        <w:rPr>
          <w:rFonts w:ascii="Bookman Old Style" w:hAnsi="Bookman Old Style"/>
          <w:color w:val="17365D" w:themeColor="text2" w:themeShade="BF"/>
          <w:sz w:val="20"/>
        </w:rPr>
        <w:t>, suspension du droit de prêt)</w:t>
      </w:r>
      <w:r w:rsidR="007F5C1C" w:rsidRPr="00D87A4F">
        <w:rPr>
          <w:rFonts w:ascii="Bookman Old Style" w:hAnsi="Bookman Old Style"/>
          <w:color w:val="17365D" w:themeColor="text2" w:themeShade="BF"/>
          <w:sz w:val="20"/>
        </w:rPr>
        <w:t>.</w:t>
      </w:r>
    </w:p>
    <w:p w:rsidR="00AD7A12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3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AD7A12" w:rsidRPr="00D87A4F">
        <w:rPr>
          <w:rFonts w:ascii="Bookman Old Style" w:hAnsi="Bookman Old Style"/>
          <w:color w:val="17365D" w:themeColor="text2" w:themeShade="BF"/>
          <w:sz w:val="20"/>
        </w:rPr>
        <w:t>En cas de perte ou de détérioration grave d’un document</w:t>
      </w:r>
      <w:r w:rsidR="001A6685" w:rsidRPr="00D87A4F">
        <w:rPr>
          <w:rFonts w:ascii="Bookman Old Style" w:hAnsi="Bookman Old Style"/>
          <w:color w:val="17365D" w:themeColor="text2" w:themeShade="BF"/>
          <w:sz w:val="20"/>
        </w:rPr>
        <w:t xml:space="preserve"> (livre)</w:t>
      </w:r>
      <w:r w:rsidR="00AD7A12" w:rsidRPr="00D87A4F">
        <w:rPr>
          <w:rFonts w:ascii="Bookman Old Style" w:hAnsi="Bookman Old Style"/>
          <w:color w:val="17365D" w:themeColor="text2" w:themeShade="BF"/>
          <w:sz w:val="20"/>
        </w:rPr>
        <w:t>, l’emprunteur</w:t>
      </w:r>
      <w:r w:rsidR="007F5C1C" w:rsidRPr="00D87A4F">
        <w:rPr>
          <w:rFonts w:ascii="Bookman Old Style" w:hAnsi="Bookman Old Style"/>
          <w:color w:val="17365D" w:themeColor="text2" w:themeShade="BF"/>
          <w:sz w:val="20"/>
        </w:rPr>
        <w:t xml:space="preserve"> doit assurer son remplacement à l’identique</w:t>
      </w:r>
      <w:r w:rsidR="001A6685" w:rsidRPr="00D87A4F">
        <w:rPr>
          <w:rFonts w:ascii="Bookman Old Style" w:hAnsi="Bookman Old Style"/>
          <w:color w:val="17365D" w:themeColor="text2" w:themeShade="BF"/>
          <w:sz w:val="20"/>
        </w:rPr>
        <w:t xml:space="preserve"> ; les DVD, CD et </w:t>
      </w:r>
      <w:proofErr w:type="spellStart"/>
      <w:r w:rsidR="001A6685" w:rsidRPr="00D87A4F">
        <w:rPr>
          <w:rFonts w:ascii="Bookman Old Style" w:hAnsi="Bookman Old Style"/>
          <w:color w:val="17365D" w:themeColor="text2" w:themeShade="BF"/>
          <w:sz w:val="20"/>
        </w:rPr>
        <w:t>CDRom</w:t>
      </w:r>
      <w:proofErr w:type="spellEnd"/>
      <w:r w:rsidR="001A6685" w:rsidRPr="00D87A4F">
        <w:rPr>
          <w:rFonts w:ascii="Bookman Old Style" w:hAnsi="Bookman Old Style"/>
          <w:color w:val="17365D" w:themeColor="text2" w:themeShade="BF"/>
          <w:sz w:val="20"/>
        </w:rPr>
        <w:t xml:space="preserve">, seront à rembourser à la </w:t>
      </w:r>
      <w:r w:rsidR="00864A22" w:rsidRPr="00D87A4F">
        <w:rPr>
          <w:rFonts w:ascii="Bookman Old Style" w:hAnsi="Bookman Old Style"/>
          <w:color w:val="17365D" w:themeColor="text2" w:themeShade="BF"/>
          <w:sz w:val="20"/>
        </w:rPr>
        <w:t>BDP de Clermont</w:t>
      </w:r>
      <w:r w:rsidR="00DA3719" w:rsidRPr="00D87A4F">
        <w:rPr>
          <w:rFonts w:ascii="Bookman Old Style" w:hAnsi="Bookman Old Style"/>
          <w:color w:val="17365D" w:themeColor="text2" w:themeShade="BF"/>
          <w:sz w:val="20"/>
        </w:rPr>
        <w:t>-</w:t>
      </w:r>
      <w:r w:rsidR="00864A22" w:rsidRPr="00D87A4F">
        <w:rPr>
          <w:rFonts w:ascii="Bookman Old Style" w:hAnsi="Bookman Old Style"/>
          <w:color w:val="17365D" w:themeColor="text2" w:themeShade="BF"/>
          <w:sz w:val="20"/>
        </w:rPr>
        <w:t xml:space="preserve"> Ferrand</w:t>
      </w:r>
      <w:r w:rsidR="001A6685" w:rsidRPr="00D87A4F">
        <w:rPr>
          <w:rFonts w:ascii="Bookman Old Style" w:hAnsi="Bookman Old Style"/>
          <w:color w:val="17365D" w:themeColor="text2" w:themeShade="BF"/>
          <w:sz w:val="20"/>
        </w:rPr>
        <w:t>.</w:t>
      </w:r>
    </w:p>
    <w:p w:rsidR="00AD7A12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4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AD7A12" w:rsidRPr="00D87A4F">
        <w:rPr>
          <w:rFonts w:ascii="Bookman Old Style" w:hAnsi="Bookman Old Style"/>
          <w:color w:val="17365D" w:themeColor="text2" w:themeShade="BF"/>
          <w:sz w:val="20"/>
        </w:rPr>
        <w:t xml:space="preserve">En cas de </w:t>
      </w:r>
      <w:r w:rsidR="00461125" w:rsidRPr="00D87A4F">
        <w:rPr>
          <w:rFonts w:ascii="Bookman Old Style" w:hAnsi="Bookman Old Style"/>
          <w:color w:val="17365D" w:themeColor="text2" w:themeShade="BF"/>
          <w:sz w:val="20"/>
        </w:rPr>
        <w:t>détérioration répétée</w:t>
      </w:r>
      <w:r w:rsidR="00AD7A12" w:rsidRPr="00D87A4F">
        <w:rPr>
          <w:rFonts w:ascii="Bookman Old Style" w:hAnsi="Bookman Old Style"/>
          <w:color w:val="17365D" w:themeColor="text2" w:themeShade="BF"/>
          <w:sz w:val="20"/>
        </w:rPr>
        <w:t xml:space="preserve"> des documents, l’usager peut perdre son droit au prêt de façon provisoire ou définitive.</w:t>
      </w:r>
    </w:p>
    <w:p w:rsidR="00461125" w:rsidRPr="00D87A4F" w:rsidRDefault="00502E04" w:rsidP="00DA3719">
      <w:pPr>
        <w:spacing w:after="0" w:line="240" w:lineRule="auto"/>
        <w:ind w:left="360" w:firstLine="348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5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461125" w:rsidRPr="00D87A4F">
        <w:rPr>
          <w:rFonts w:ascii="Bookman Old Style" w:hAnsi="Bookman Old Style"/>
          <w:color w:val="17365D" w:themeColor="text2" w:themeShade="BF"/>
          <w:sz w:val="20"/>
        </w:rPr>
        <w:t>La reproduction partielle des documents écrits n’est tolérée que pour un usage strictement personnel.</w:t>
      </w:r>
    </w:p>
    <w:p w:rsidR="00567AAF" w:rsidRPr="00D87A4F" w:rsidRDefault="00567AAF" w:rsidP="00344FA4">
      <w:pPr>
        <w:pStyle w:val="Paragraphedeliste"/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0"/>
        </w:rPr>
      </w:pPr>
    </w:p>
    <w:p w:rsidR="00567AAF" w:rsidRPr="00D87A4F" w:rsidRDefault="00567AAF" w:rsidP="00344FA4">
      <w:pPr>
        <w:spacing w:after="0" w:line="240" w:lineRule="auto"/>
        <w:ind w:left="360"/>
        <w:jc w:val="center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>V-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COMPORTEMENT DES USAGERS</w:t>
      </w:r>
    </w:p>
    <w:p w:rsidR="00567AAF" w:rsidRPr="00D87A4F" w:rsidRDefault="00DA3719" w:rsidP="00DA3719">
      <w:pPr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="00502E04"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Les lecteurs sont tenus de respecter le calme à l’intérieur des locaux.</w:t>
      </w:r>
    </w:p>
    <w:p w:rsidR="00567AAF" w:rsidRPr="00D87A4F" w:rsidRDefault="00DA3719" w:rsidP="00DA3719">
      <w:pPr>
        <w:tabs>
          <w:tab w:val="left" w:pos="709"/>
        </w:tabs>
        <w:spacing w:after="0" w:line="240" w:lineRule="auto"/>
        <w:ind w:left="360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="00502E04"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>/Dans les locaux l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es enfants sont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sous la responsabilité de leurs parents. Les bénévoles de la Bibliothèque les accueillent, les conseillent,</w:t>
      </w:r>
      <w:r w:rsidR="0075503D" w:rsidRPr="00D87A4F">
        <w:rPr>
          <w:rFonts w:ascii="Bookman Old Style" w:hAnsi="Bookman Old Style"/>
          <w:color w:val="17365D" w:themeColor="text2" w:themeShade="BF"/>
          <w:sz w:val="20"/>
        </w:rPr>
        <w:t xml:space="preserve"> mais ne peuvent</w:t>
      </w:r>
      <w:r w:rsidR="007F5C1C" w:rsidRPr="00D87A4F">
        <w:rPr>
          <w:rFonts w:ascii="Bookman Old Style" w:hAnsi="Bookman Old Style"/>
          <w:color w:val="17365D" w:themeColor="text2" w:themeShade="BF"/>
          <w:sz w:val="20"/>
        </w:rPr>
        <w:t xml:space="preserve"> 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en aucun cas les garder.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br/>
      </w:r>
    </w:p>
    <w:p w:rsidR="00567AAF" w:rsidRPr="00D87A4F" w:rsidRDefault="00567AAF" w:rsidP="00344FA4">
      <w:pPr>
        <w:tabs>
          <w:tab w:val="left" w:pos="450"/>
        </w:tabs>
        <w:spacing w:after="0" w:line="240" w:lineRule="auto"/>
        <w:ind w:left="360"/>
        <w:jc w:val="center"/>
        <w:rPr>
          <w:rFonts w:ascii="Bookman Old Style" w:hAnsi="Bookman Old Style"/>
          <w:b/>
          <w:color w:val="17365D" w:themeColor="text2" w:themeShade="BF"/>
          <w:sz w:val="20"/>
          <w:u w:val="single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 xml:space="preserve">VI – </w:t>
      </w:r>
      <w:r w:rsidRPr="00D87A4F">
        <w:rPr>
          <w:rFonts w:ascii="Bookman Old Style" w:hAnsi="Bookman Old Style"/>
          <w:b/>
          <w:color w:val="17365D" w:themeColor="text2" w:themeShade="BF"/>
          <w:sz w:val="20"/>
          <w:u w:val="single"/>
        </w:rPr>
        <w:t>APPLICATION DU REGLEMENT</w:t>
      </w:r>
    </w:p>
    <w:p w:rsidR="00567AAF" w:rsidRPr="00D87A4F" w:rsidRDefault="00DA3719" w:rsidP="00DA3719">
      <w:pPr>
        <w:tabs>
          <w:tab w:val="left" w:pos="709"/>
        </w:tabs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="00502E04" w:rsidRPr="00D87A4F">
        <w:rPr>
          <w:rFonts w:ascii="Bookman Old Style" w:hAnsi="Bookman Old Style"/>
          <w:b/>
          <w:color w:val="17365D" w:themeColor="text2" w:themeShade="BF"/>
          <w:sz w:val="20"/>
        </w:rPr>
        <w:t>1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Tout usager, par le fait de son inscription, s’engage à se conformer au présent règlement.</w:t>
      </w:r>
    </w:p>
    <w:p w:rsidR="00567AAF" w:rsidRPr="00D87A4F" w:rsidRDefault="00DA3719" w:rsidP="00DA3719">
      <w:pPr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="00502E04" w:rsidRPr="00D87A4F">
        <w:rPr>
          <w:rFonts w:ascii="Bookman Old Style" w:hAnsi="Bookman Old Style"/>
          <w:b/>
          <w:color w:val="17365D" w:themeColor="text2" w:themeShade="BF"/>
          <w:sz w:val="20"/>
        </w:rPr>
        <w:t>2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Des infractions graves ou négligentes répétées peuvent entraîner la suppression temporaire ou définitive du droit de prêt, voire de l’accès à la bibliothèque.</w:t>
      </w:r>
    </w:p>
    <w:p w:rsidR="00567AAF" w:rsidRPr="00D87A4F" w:rsidRDefault="00DA3719" w:rsidP="00344FA4">
      <w:pPr>
        <w:tabs>
          <w:tab w:val="left" w:pos="450"/>
        </w:tabs>
        <w:spacing w:after="0" w:line="240" w:lineRule="auto"/>
        <w:ind w:left="360"/>
        <w:jc w:val="both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Pr="00D87A4F">
        <w:rPr>
          <w:rFonts w:ascii="Bookman Old Style" w:hAnsi="Bookman Old Style"/>
          <w:b/>
          <w:color w:val="17365D" w:themeColor="text2" w:themeShade="BF"/>
          <w:sz w:val="20"/>
        </w:rPr>
        <w:tab/>
      </w:r>
      <w:r w:rsidR="00502E04" w:rsidRPr="00D87A4F">
        <w:rPr>
          <w:rFonts w:ascii="Bookman Old Style" w:hAnsi="Bookman Old Style"/>
          <w:b/>
          <w:color w:val="17365D" w:themeColor="text2" w:themeShade="BF"/>
          <w:sz w:val="20"/>
        </w:rPr>
        <w:t>3</w:t>
      </w:r>
      <w:r w:rsidR="00502E04" w:rsidRPr="00D87A4F">
        <w:rPr>
          <w:rFonts w:ascii="Bookman Old Style" w:hAnsi="Bookman Old Style"/>
          <w:color w:val="17365D" w:themeColor="text2" w:themeShade="BF"/>
          <w:sz w:val="20"/>
        </w:rPr>
        <w:t>/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 xml:space="preserve">Les bénévoles de la Bibliothèque sont chargés de l’application du présent règlement </w:t>
      </w:r>
      <w:r w:rsidR="005105AB" w:rsidRPr="00D87A4F">
        <w:rPr>
          <w:rFonts w:ascii="Bookman Old Style" w:hAnsi="Bookman Old Style"/>
          <w:color w:val="17365D" w:themeColor="text2" w:themeShade="BF"/>
          <w:sz w:val="20"/>
        </w:rPr>
        <w:t>après lecture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 xml:space="preserve"> lors de son inscription, </w:t>
      </w:r>
      <w:r w:rsidR="005105AB" w:rsidRPr="00D87A4F">
        <w:rPr>
          <w:rFonts w:ascii="Bookman Old Style" w:hAnsi="Bookman Old Style"/>
          <w:color w:val="17365D" w:themeColor="text2" w:themeShade="BF"/>
          <w:sz w:val="20"/>
        </w:rPr>
        <w:t xml:space="preserve">et </w:t>
      </w:r>
      <w:r w:rsidR="00567AAF" w:rsidRPr="00D87A4F">
        <w:rPr>
          <w:rFonts w:ascii="Bookman Old Style" w:hAnsi="Bookman Old Style"/>
          <w:color w:val="17365D" w:themeColor="text2" w:themeShade="BF"/>
          <w:sz w:val="20"/>
        </w:rPr>
        <w:t>un exemplaire étant affiché en permanence dans les locaux.</w:t>
      </w:r>
    </w:p>
    <w:p w:rsidR="0075503D" w:rsidRPr="00D87A4F" w:rsidRDefault="0075503D" w:rsidP="00344FA4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0"/>
        </w:rPr>
      </w:pPr>
    </w:p>
    <w:p w:rsidR="0075503D" w:rsidRPr="00D87A4F" w:rsidRDefault="0075503D" w:rsidP="00344FA4">
      <w:pPr>
        <w:tabs>
          <w:tab w:val="left" w:pos="450"/>
        </w:tabs>
        <w:spacing w:after="0" w:line="240" w:lineRule="auto"/>
        <w:jc w:val="both"/>
        <w:rPr>
          <w:rFonts w:ascii="Bookman Old Style" w:hAnsi="Bookman Old Style"/>
          <w:color w:val="17365D" w:themeColor="text2" w:themeShade="BF"/>
          <w:sz w:val="20"/>
        </w:rPr>
      </w:pPr>
    </w:p>
    <w:p w:rsidR="002B5AB2" w:rsidRPr="00D87A4F" w:rsidRDefault="0075503D" w:rsidP="00BD6AB5">
      <w:pPr>
        <w:tabs>
          <w:tab w:val="left" w:pos="450"/>
        </w:tabs>
        <w:spacing w:after="0" w:line="240" w:lineRule="auto"/>
        <w:ind w:left="360"/>
        <w:jc w:val="center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color w:val="17365D" w:themeColor="text2" w:themeShade="BF"/>
          <w:sz w:val="20"/>
        </w:rPr>
        <w:t>A Sauxillanges, le 01.0</w:t>
      </w:r>
      <w:r w:rsidR="00BD6AB5" w:rsidRPr="00D87A4F">
        <w:rPr>
          <w:rFonts w:ascii="Bookman Old Style" w:hAnsi="Bookman Old Style"/>
          <w:color w:val="17365D" w:themeColor="text2" w:themeShade="BF"/>
          <w:sz w:val="20"/>
        </w:rPr>
        <w:t>3</w:t>
      </w:r>
      <w:r w:rsidRPr="00D87A4F">
        <w:rPr>
          <w:rFonts w:ascii="Bookman Old Style" w:hAnsi="Bookman Old Style"/>
          <w:color w:val="17365D" w:themeColor="text2" w:themeShade="BF"/>
          <w:sz w:val="20"/>
        </w:rPr>
        <w:t>.2012</w:t>
      </w:r>
    </w:p>
    <w:p w:rsidR="002B5AB2" w:rsidRPr="00D87A4F" w:rsidRDefault="002B5AB2" w:rsidP="00BD6AB5">
      <w:pPr>
        <w:tabs>
          <w:tab w:val="left" w:pos="450"/>
        </w:tabs>
        <w:spacing w:after="0" w:line="240" w:lineRule="auto"/>
        <w:ind w:left="360"/>
        <w:jc w:val="center"/>
        <w:rPr>
          <w:rFonts w:ascii="Bookman Old Style" w:hAnsi="Bookman Old Style"/>
          <w:color w:val="17365D" w:themeColor="text2" w:themeShade="BF"/>
          <w:sz w:val="20"/>
        </w:rPr>
      </w:pPr>
      <w:r w:rsidRPr="00D87A4F">
        <w:rPr>
          <w:rFonts w:ascii="Bookman Old Style" w:hAnsi="Bookman Old Style"/>
          <w:color w:val="17365D" w:themeColor="text2" w:themeShade="BF"/>
          <w:sz w:val="20"/>
        </w:rPr>
        <w:t>Le Maire, Bernard SAUVADE</w:t>
      </w:r>
    </w:p>
    <w:sectPr w:rsidR="002B5AB2" w:rsidRPr="00D87A4F" w:rsidSect="00344FA4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729"/>
    <w:multiLevelType w:val="hybridMultilevel"/>
    <w:tmpl w:val="B1CA16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60F8C"/>
    <w:multiLevelType w:val="hybridMultilevel"/>
    <w:tmpl w:val="1E0866D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193AD1"/>
    <w:multiLevelType w:val="hybridMultilevel"/>
    <w:tmpl w:val="3F54E3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00A00"/>
    <w:multiLevelType w:val="hybridMultilevel"/>
    <w:tmpl w:val="A9580AC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5A6C6D"/>
    <w:multiLevelType w:val="hybridMultilevel"/>
    <w:tmpl w:val="A0A44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630EA"/>
    <w:multiLevelType w:val="hybridMultilevel"/>
    <w:tmpl w:val="B9104006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E6735"/>
    <w:multiLevelType w:val="hybridMultilevel"/>
    <w:tmpl w:val="6A4445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05BCF"/>
    <w:multiLevelType w:val="hybridMultilevel"/>
    <w:tmpl w:val="4268DC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D7665"/>
    <w:multiLevelType w:val="hybridMultilevel"/>
    <w:tmpl w:val="C05079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55028"/>
    <w:multiLevelType w:val="hybridMultilevel"/>
    <w:tmpl w:val="9A6A5F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F4427A"/>
    <w:multiLevelType w:val="hybridMultilevel"/>
    <w:tmpl w:val="E6144F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B76F8"/>
    <w:multiLevelType w:val="hybridMultilevel"/>
    <w:tmpl w:val="A1303F1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FC2C1C"/>
    <w:multiLevelType w:val="hybridMultilevel"/>
    <w:tmpl w:val="E7A89E3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A3B6AAF"/>
    <w:multiLevelType w:val="hybridMultilevel"/>
    <w:tmpl w:val="F9C49AC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D22EA6"/>
    <w:multiLevelType w:val="hybridMultilevel"/>
    <w:tmpl w:val="0C00BC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3A6728"/>
    <w:multiLevelType w:val="hybridMultilevel"/>
    <w:tmpl w:val="6180D958"/>
    <w:lvl w:ilvl="0" w:tplc="040C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1"/>
  </w:num>
  <w:num w:numId="6">
    <w:abstractNumId w:val="2"/>
  </w:num>
  <w:num w:numId="7">
    <w:abstractNumId w:val="15"/>
  </w:num>
  <w:num w:numId="8">
    <w:abstractNumId w:val="8"/>
  </w:num>
  <w:num w:numId="9">
    <w:abstractNumId w:val="1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CD4"/>
    <w:rsid w:val="001A6685"/>
    <w:rsid w:val="00287904"/>
    <w:rsid w:val="002B5AB2"/>
    <w:rsid w:val="00344FA4"/>
    <w:rsid w:val="0037469B"/>
    <w:rsid w:val="00461125"/>
    <w:rsid w:val="004F0C33"/>
    <w:rsid w:val="004F639C"/>
    <w:rsid w:val="00502E04"/>
    <w:rsid w:val="00505EFC"/>
    <w:rsid w:val="0050685C"/>
    <w:rsid w:val="005105AB"/>
    <w:rsid w:val="00520E1B"/>
    <w:rsid w:val="00567AAF"/>
    <w:rsid w:val="005C72A4"/>
    <w:rsid w:val="006622F5"/>
    <w:rsid w:val="00675376"/>
    <w:rsid w:val="006833A2"/>
    <w:rsid w:val="0071294C"/>
    <w:rsid w:val="007317F9"/>
    <w:rsid w:val="0075503D"/>
    <w:rsid w:val="007F3A88"/>
    <w:rsid w:val="007F5C1C"/>
    <w:rsid w:val="008073CD"/>
    <w:rsid w:val="00864A22"/>
    <w:rsid w:val="008B1F9D"/>
    <w:rsid w:val="008F6D68"/>
    <w:rsid w:val="00962451"/>
    <w:rsid w:val="009832C6"/>
    <w:rsid w:val="009959FD"/>
    <w:rsid w:val="009C0D1E"/>
    <w:rsid w:val="009C31FE"/>
    <w:rsid w:val="009F0F9F"/>
    <w:rsid w:val="00A17C0E"/>
    <w:rsid w:val="00A81CD4"/>
    <w:rsid w:val="00AD7A12"/>
    <w:rsid w:val="00AE068E"/>
    <w:rsid w:val="00B54A24"/>
    <w:rsid w:val="00BB2683"/>
    <w:rsid w:val="00BB5804"/>
    <w:rsid w:val="00BD6AB5"/>
    <w:rsid w:val="00C37CD2"/>
    <w:rsid w:val="00CD658E"/>
    <w:rsid w:val="00D87A4F"/>
    <w:rsid w:val="00DA3719"/>
    <w:rsid w:val="00DA6709"/>
    <w:rsid w:val="00E74F81"/>
    <w:rsid w:val="00E81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75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1D1AD-931B-4439-A8DF-37A86646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1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Hilaire</dc:creator>
  <cp:keywords/>
  <dc:description/>
  <cp:lastModifiedBy> </cp:lastModifiedBy>
  <cp:revision>32</cp:revision>
  <cp:lastPrinted>2012-03-08T13:54:00Z</cp:lastPrinted>
  <dcterms:created xsi:type="dcterms:W3CDTF">2012-01-31T16:25:00Z</dcterms:created>
  <dcterms:modified xsi:type="dcterms:W3CDTF">2012-03-08T13:55:00Z</dcterms:modified>
</cp:coreProperties>
</file>